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2872"/>
        <w:gridCol w:w="6868"/>
      </w:tblGrid>
      <w:tr w:rsidR="00CA05BB" w14:paraId="46CA448B" w14:textId="77777777" w:rsidTr="000239E1">
        <w:tc>
          <w:tcPr>
            <w:tcW w:w="9740" w:type="dxa"/>
            <w:gridSpan w:val="2"/>
          </w:tcPr>
          <w:p w14:paraId="1D46F8FA" w14:textId="77777777" w:rsidR="00CA05BB" w:rsidRDefault="00CA05BB" w:rsidP="000239E1">
            <w:pPr>
              <w:jc w:val="center"/>
            </w:pPr>
            <w:r w:rsidRPr="006014B0">
              <w:rPr>
                <w:b/>
                <w:bCs/>
                <w:sz w:val="28"/>
                <w:szCs w:val="28"/>
              </w:rPr>
              <w:t xml:space="preserve">MEMORIA DEL CUMPLIMIENTO DE LAS CONDICIONES ESPECÍFICAS </w:t>
            </w:r>
            <w:r>
              <w:rPr>
                <w:b/>
                <w:bCs/>
                <w:sz w:val="28"/>
                <w:szCs w:val="28"/>
              </w:rPr>
              <w:t xml:space="preserve">EN RELACIÓN CON EL PRINCIPIO </w:t>
            </w:r>
            <w:r w:rsidRPr="006014B0">
              <w:rPr>
                <w:b/>
                <w:bCs/>
                <w:sz w:val="28"/>
                <w:szCs w:val="28"/>
              </w:rPr>
              <w:t>DE DNSH</w:t>
            </w:r>
            <w:r>
              <w:rPr>
                <w:b/>
                <w:bCs/>
                <w:sz w:val="28"/>
                <w:szCs w:val="28"/>
              </w:rPr>
              <w:t xml:space="preserve"> (Do No </w:t>
            </w:r>
            <w:proofErr w:type="spellStart"/>
            <w:r>
              <w:rPr>
                <w:b/>
                <w:bCs/>
                <w:sz w:val="28"/>
                <w:szCs w:val="28"/>
              </w:rPr>
              <w:t>Significant</w:t>
            </w:r>
            <w:proofErr w:type="spellEnd"/>
            <w:r>
              <w:rPr>
                <w:b/>
                <w:bCs/>
                <w:sz w:val="28"/>
                <w:szCs w:val="28"/>
              </w:rPr>
              <w:t xml:space="preserve"> </w:t>
            </w:r>
            <w:proofErr w:type="spellStart"/>
            <w:r>
              <w:rPr>
                <w:b/>
                <w:bCs/>
                <w:sz w:val="28"/>
                <w:szCs w:val="28"/>
              </w:rPr>
              <w:t>Harm</w:t>
            </w:r>
            <w:proofErr w:type="spellEnd"/>
            <w:r>
              <w:rPr>
                <w:b/>
                <w:bCs/>
                <w:sz w:val="28"/>
                <w:szCs w:val="28"/>
              </w:rPr>
              <w:t>)</w:t>
            </w:r>
          </w:p>
        </w:tc>
      </w:tr>
      <w:tr w:rsidR="00CA05BB" w14:paraId="53814D2B" w14:textId="77777777" w:rsidTr="000239E1">
        <w:tc>
          <w:tcPr>
            <w:tcW w:w="2872" w:type="dxa"/>
          </w:tcPr>
          <w:p w14:paraId="58B46B66" w14:textId="77777777" w:rsidR="00CA05BB" w:rsidRDefault="00CA05BB" w:rsidP="000239E1">
            <w:pPr>
              <w:jc w:val="both"/>
              <w:rPr>
                <w:b/>
                <w:bCs/>
                <w:sz w:val="24"/>
                <w:szCs w:val="24"/>
              </w:rPr>
            </w:pPr>
            <w:r>
              <w:rPr>
                <w:b/>
                <w:bCs/>
                <w:sz w:val="24"/>
                <w:szCs w:val="24"/>
              </w:rPr>
              <w:t>Convocatoria</w:t>
            </w:r>
          </w:p>
        </w:tc>
        <w:tc>
          <w:tcPr>
            <w:tcW w:w="6868" w:type="dxa"/>
          </w:tcPr>
          <w:p w14:paraId="1C891F45" w14:textId="3BCEFD4B" w:rsidR="00CA05BB" w:rsidRDefault="00CA05BB" w:rsidP="00CA05BB">
            <w:pPr>
              <w:rPr>
                <w:b/>
                <w:bCs/>
                <w:sz w:val="24"/>
                <w:szCs w:val="24"/>
              </w:rPr>
            </w:pPr>
            <w:r w:rsidRPr="00D457D6">
              <w:t xml:space="preserve">UNICO I+D </w:t>
            </w:r>
            <w:r w:rsidR="00CB73E3">
              <w:t>CLOUD</w:t>
            </w:r>
          </w:p>
        </w:tc>
      </w:tr>
      <w:tr w:rsidR="00CA05BB" w14:paraId="30D35556" w14:textId="77777777" w:rsidTr="000239E1">
        <w:tc>
          <w:tcPr>
            <w:tcW w:w="2872" w:type="dxa"/>
          </w:tcPr>
          <w:p w14:paraId="227A3FD1" w14:textId="77777777" w:rsidR="00CA05BB" w:rsidRPr="00CB73E3" w:rsidRDefault="00CA05BB" w:rsidP="000239E1">
            <w:pPr>
              <w:jc w:val="both"/>
              <w:rPr>
                <w:rFonts w:cstheme="minorHAnsi"/>
                <w:b/>
                <w:bCs/>
              </w:rPr>
            </w:pPr>
            <w:r w:rsidRPr="00CB73E3">
              <w:rPr>
                <w:rFonts w:cstheme="minorHAnsi"/>
                <w:b/>
                <w:bCs/>
              </w:rPr>
              <w:t>Instrumento jurídico</w:t>
            </w:r>
          </w:p>
        </w:tc>
        <w:tc>
          <w:tcPr>
            <w:tcW w:w="6868" w:type="dxa"/>
          </w:tcPr>
          <w:p w14:paraId="4579C184" w14:textId="618C3BD1" w:rsidR="00B75829" w:rsidRPr="00CB73E3" w:rsidRDefault="00CB73E3" w:rsidP="00CB73E3">
            <w:pPr>
              <w:jc w:val="both"/>
              <w:rPr>
                <w:rFonts w:cstheme="minorHAnsi"/>
              </w:rPr>
            </w:pPr>
            <w:r w:rsidRPr="00CB73E3">
              <w:rPr>
                <w:rFonts w:cstheme="minorHAnsi"/>
                <w:color w:val="000000"/>
              </w:rPr>
              <w:t xml:space="preserve">Real Decreto 959/2022, de 15 de noviembre, por el que se regula la concesión directa de una subvención a centros y fundaciones públicos de investigación y universidades públicas españolas para la realización de proyectos innovadores en el área de computación en la nube del Programa UNICO I+D Cloud, en el marco del Plan de Recuperación, Transformación y Resiliencia -Financiado por la Unión Europea- Next </w:t>
            </w:r>
            <w:proofErr w:type="spellStart"/>
            <w:r w:rsidRPr="00CB73E3">
              <w:rPr>
                <w:rFonts w:cstheme="minorHAnsi"/>
                <w:color w:val="000000"/>
              </w:rPr>
              <w:t>Generation</w:t>
            </w:r>
            <w:proofErr w:type="spellEnd"/>
            <w:r w:rsidRPr="00CB73E3">
              <w:rPr>
                <w:rFonts w:cstheme="minorHAnsi"/>
                <w:color w:val="000000"/>
              </w:rPr>
              <w:t xml:space="preserve"> EU.</w:t>
            </w:r>
          </w:p>
          <w:p w14:paraId="595BC64D" w14:textId="5811BFC6" w:rsidR="00CB3629" w:rsidRPr="00CB73E3" w:rsidRDefault="00CB73E3" w:rsidP="00B75829">
            <w:pPr>
              <w:jc w:val="both"/>
              <w:rPr>
                <w:rFonts w:cstheme="minorHAnsi"/>
                <w:b/>
                <w:bCs/>
              </w:rPr>
            </w:pPr>
            <w:hyperlink r:id="rId7" w:tooltip="Permalink ELI" w:history="1">
              <w:r w:rsidRPr="00CB73E3">
                <w:rPr>
                  <w:rStyle w:val="Hipervnculo"/>
                  <w:rFonts w:cstheme="minorHAnsi"/>
                </w:rPr>
                <w:t>https://www.boe.es/eli/es/rd</w:t>
              </w:r>
              <w:r w:rsidRPr="00CB73E3">
                <w:rPr>
                  <w:rStyle w:val="Hipervnculo"/>
                  <w:rFonts w:cstheme="minorHAnsi"/>
                </w:rPr>
                <w:t>/</w:t>
              </w:r>
              <w:r w:rsidRPr="00CB73E3">
                <w:rPr>
                  <w:rStyle w:val="Hipervnculo"/>
                  <w:rFonts w:cstheme="minorHAnsi"/>
                </w:rPr>
                <w:t>2022/11/15/959</w:t>
              </w:r>
            </w:hyperlink>
          </w:p>
        </w:tc>
      </w:tr>
      <w:tr w:rsidR="00CA05BB" w14:paraId="2BAB0E32" w14:textId="77777777" w:rsidTr="000239E1">
        <w:tc>
          <w:tcPr>
            <w:tcW w:w="2872" w:type="dxa"/>
          </w:tcPr>
          <w:p w14:paraId="367D8428" w14:textId="77777777" w:rsidR="00CA05BB" w:rsidRDefault="00CA05BB" w:rsidP="000239E1">
            <w:pPr>
              <w:jc w:val="both"/>
              <w:rPr>
                <w:b/>
                <w:bCs/>
                <w:sz w:val="24"/>
                <w:szCs w:val="24"/>
              </w:rPr>
            </w:pPr>
            <w:r>
              <w:rPr>
                <w:b/>
                <w:bCs/>
                <w:sz w:val="24"/>
                <w:szCs w:val="24"/>
              </w:rPr>
              <w:t>Condiciones específicas en relación con el principio de DNSH</w:t>
            </w:r>
          </w:p>
        </w:tc>
        <w:tc>
          <w:tcPr>
            <w:tcW w:w="6868" w:type="dxa"/>
          </w:tcPr>
          <w:p w14:paraId="0843CA0D" w14:textId="1778E19C" w:rsidR="00CA05BB" w:rsidRPr="00CA05BB" w:rsidRDefault="00CA05BB" w:rsidP="000239E1">
            <w:pPr>
              <w:jc w:val="both"/>
              <w:rPr>
                <w:sz w:val="24"/>
                <w:szCs w:val="24"/>
              </w:rPr>
            </w:pPr>
            <w:r w:rsidRPr="00CA05BB">
              <w:rPr>
                <w:sz w:val="24"/>
                <w:szCs w:val="24"/>
              </w:rPr>
              <w:t xml:space="preserve">Anexo </w:t>
            </w:r>
            <w:r w:rsidR="00B75829">
              <w:rPr>
                <w:sz w:val="24"/>
                <w:szCs w:val="24"/>
              </w:rPr>
              <w:t xml:space="preserve">III </w:t>
            </w:r>
            <w:r w:rsidRPr="00CA05BB">
              <w:rPr>
                <w:sz w:val="24"/>
                <w:szCs w:val="24"/>
              </w:rPr>
              <w:t>del instrumento jurídico</w:t>
            </w:r>
          </w:p>
        </w:tc>
      </w:tr>
      <w:tr w:rsidR="00CA05BB" w14:paraId="7CCE4CD0" w14:textId="77777777" w:rsidTr="000239E1">
        <w:tc>
          <w:tcPr>
            <w:tcW w:w="2872" w:type="dxa"/>
          </w:tcPr>
          <w:p w14:paraId="5C4C53DA" w14:textId="77777777" w:rsidR="00CA05BB" w:rsidRDefault="00CA05BB" w:rsidP="000239E1">
            <w:pPr>
              <w:jc w:val="both"/>
              <w:rPr>
                <w:b/>
                <w:bCs/>
                <w:sz w:val="24"/>
                <w:szCs w:val="24"/>
              </w:rPr>
            </w:pPr>
            <w:r>
              <w:rPr>
                <w:b/>
                <w:bCs/>
                <w:sz w:val="24"/>
                <w:szCs w:val="24"/>
              </w:rPr>
              <w:t>Beneficiario</w:t>
            </w:r>
          </w:p>
        </w:tc>
        <w:tc>
          <w:tcPr>
            <w:tcW w:w="6868" w:type="dxa"/>
          </w:tcPr>
          <w:p w14:paraId="7739BB2B" w14:textId="77777777" w:rsidR="00CA05BB" w:rsidRPr="00294052" w:rsidRDefault="00CA05BB" w:rsidP="000239E1">
            <w:pPr>
              <w:jc w:val="both"/>
              <w:rPr>
                <w:sz w:val="24"/>
                <w:szCs w:val="24"/>
              </w:rPr>
            </w:pPr>
            <w:r w:rsidRPr="00294052">
              <w:rPr>
                <w:sz w:val="24"/>
                <w:szCs w:val="24"/>
                <w:highlight w:val="yellow"/>
              </w:rPr>
              <w:t>XXX</w:t>
            </w:r>
          </w:p>
        </w:tc>
      </w:tr>
    </w:tbl>
    <w:p w14:paraId="1165D2DB" w14:textId="77777777" w:rsidR="00CA05BB" w:rsidRDefault="00CA05BB" w:rsidP="00CA05BB">
      <w:pPr>
        <w:jc w:val="both"/>
      </w:pPr>
    </w:p>
    <w:tbl>
      <w:tblPr>
        <w:tblStyle w:val="Tablaconcuadrcula"/>
        <w:tblW w:w="0" w:type="auto"/>
        <w:tblLook w:val="04A0" w:firstRow="1" w:lastRow="0" w:firstColumn="1" w:lastColumn="0" w:noHBand="0" w:noVBand="1"/>
      </w:tblPr>
      <w:tblGrid>
        <w:gridCol w:w="9740"/>
      </w:tblGrid>
      <w:tr w:rsidR="00CA05BB" w14:paraId="432E3174" w14:textId="77777777" w:rsidTr="000239E1">
        <w:tc>
          <w:tcPr>
            <w:tcW w:w="9740" w:type="dxa"/>
          </w:tcPr>
          <w:p w14:paraId="0A56E8D0" w14:textId="77777777" w:rsidR="00CA05BB" w:rsidRDefault="00CA05BB" w:rsidP="000239E1">
            <w:pPr>
              <w:spacing w:after="160" w:line="259" w:lineRule="auto"/>
              <w:jc w:val="both"/>
              <w:rPr>
                <w:sz w:val="28"/>
                <w:szCs w:val="28"/>
              </w:rPr>
            </w:pPr>
            <w:r w:rsidRPr="00294052">
              <w:rPr>
                <w:sz w:val="28"/>
                <w:szCs w:val="28"/>
              </w:rPr>
              <w:t xml:space="preserve">En esta memoria se describen las acciones llevadas a cabo por </w:t>
            </w:r>
            <w:r w:rsidRPr="00294052">
              <w:rPr>
                <w:sz w:val="28"/>
                <w:szCs w:val="28"/>
                <w:highlight w:val="yellow"/>
              </w:rPr>
              <w:t>[BENEFICARIO</w:t>
            </w:r>
            <w:r w:rsidRPr="00294052">
              <w:rPr>
                <w:sz w:val="28"/>
                <w:szCs w:val="28"/>
              </w:rPr>
              <w:t xml:space="preserve">] para dar cumplimiento a cada una de las condiciones específicas relativas al principio DNSH que son aplicables a esta actuación y que se enumeran a continuación asociadas a cada uno de los objetivos medioambientales recogidos en el artículo 17 del Reglamento 2020/852: </w:t>
            </w:r>
          </w:p>
        </w:tc>
      </w:tr>
    </w:tbl>
    <w:p w14:paraId="5E2C0A54" w14:textId="77777777" w:rsidR="00CA05BB" w:rsidRDefault="00CA05BB" w:rsidP="00CA05BB">
      <w:pPr>
        <w:jc w:val="both"/>
        <w:rPr>
          <w:highlight w:val="yellow"/>
        </w:rPr>
      </w:pPr>
    </w:p>
    <w:p w14:paraId="2CBFEF5C" w14:textId="77777777" w:rsidR="00CB3629" w:rsidRPr="006014B0" w:rsidRDefault="00CB3629" w:rsidP="00CB3629">
      <w:pPr>
        <w:jc w:val="both"/>
        <w:rPr>
          <w:b/>
          <w:bCs/>
        </w:rPr>
      </w:pPr>
      <w:r>
        <w:rPr>
          <w:b/>
          <w:bCs/>
        </w:rPr>
        <w:t xml:space="preserve">Condición específica </w:t>
      </w:r>
      <w:proofErr w:type="spellStart"/>
      <w:r>
        <w:rPr>
          <w:b/>
          <w:bCs/>
        </w:rPr>
        <w:t>nº</w:t>
      </w:r>
      <w:proofErr w:type="spellEnd"/>
      <w:r>
        <w:rPr>
          <w:b/>
          <w:bCs/>
        </w:rPr>
        <w:t xml:space="preserve"> 1: </w:t>
      </w:r>
      <w:r w:rsidRPr="006014B0">
        <w:rPr>
          <w:b/>
          <w:bCs/>
        </w:rPr>
        <w:t xml:space="preserve"> </w:t>
      </w:r>
    </w:p>
    <w:p w14:paraId="580C009A" w14:textId="4C924A02" w:rsidR="00CB73E3" w:rsidRPr="00CB73E3" w:rsidRDefault="00CB73E3" w:rsidP="00CB3629">
      <w:pPr>
        <w:jc w:val="both"/>
        <w:rPr>
          <w:highlight w:val="yellow"/>
        </w:rPr>
      </w:pPr>
      <w:r w:rsidRPr="00CB73E3">
        <w:t>Los equipos que se utilicen cumplirán con los requisitos relacionados con el consumo energético establecidos de acuerdo con la Directiva 2009/125/EC del Parlamento Europeo y del Consejo, de 21 de octubre de 2009, para servidores y almacenamiento de datos, o computadoras y servidores de computadoras o pantallas electrónicas. Para la instalación de las infraestructuras IT, se seguirá la versión más reciente del Código de conducta europeo sobre eficiencia energética de centros de datos, o en el documento CEN-CENELEC CLC TR50600-99-1 «Instalaciones e infraestructuras de centros de datos-Parte 99-1: Prácticas recomendadas para la gestión energética».</w:t>
      </w:r>
    </w:p>
    <w:p w14:paraId="67CBE227" w14:textId="0F089A16" w:rsidR="00CB3629" w:rsidRPr="00591BED" w:rsidRDefault="00CB3629" w:rsidP="00CB3629">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66B278A9" w14:textId="4F749B5C" w:rsidR="00CB3629" w:rsidRDefault="00CB3629" w:rsidP="00CB3629">
      <w:pPr>
        <w:jc w:val="both"/>
      </w:pPr>
    </w:p>
    <w:p w14:paraId="08096DF6" w14:textId="6F79949F" w:rsidR="00CB3629" w:rsidRPr="006014B0" w:rsidRDefault="00CB3629" w:rsidP="00CB3629">
      <w:pPr>
        <w:jc w:val="both"/>
        <w:rPr>
          <w:b/>
          <w:bCs/>
        </w:rPr>
      </w:pPr>
      <w:r>
        <w:rPr>
          <w:b/>
          <w:bCs/>
        </w:rPr>
        <w:t xml:space="preserve">Condición específica </w:t>
      </w:r>
      <w:proofErr w:type="spellStart"/>
      <w:r>
        <w:rPr>
          <w:b/>
          <w:bCs/>
        </w:rPr>
        <w:t>nº</w:t>
      </w:r>
      <w:proofErr w:type="spellEnd"/>
      <w:r>
        <w:rPr>
          <w:b/>
          <w:bCs/>
        </w:rPr>
        <w:t xml:space="preserve"> 2: </w:t>
      </w:r>
      <w:r w:rsidRPr="006014B0">
        <w:rPr>
          <w:b/>
          <w:bCs/>
        </w:rPr>
        <w:t xml:space="preserve"> </w:t>
      </w:r>
    </w:p>
    <w:p w14:paraId="48C73DF1" w14:textId="788522CE" w:rsidR="00B75829" w:rsidRPr="00CB73E3" w:rsidRDefault="00CB73E3" w:rsidP="00CB3629">
      <w:pPr>
        <w:jc w:val="both"/>
      </w:pPr>
      <w:r w:rsidRPr="00CB73E3">
        <w:t>Se realizará una evaluación del riesgo climático y la vulnerabilidad de las instalaciones de infraestructuras IT y en su caso, se establecerán las soluciones de adaptación adecuadas para cada caso.</w:t>
      </w:r>
    </w:p>
    <w:p w14:paraId="646167E5" w14:textId="3BB2788B" w:rsidR="00CB3629" w:rsidRPr="00591BED" w:rsidRDefault="00CB3629" w:rsidP="00CB3629">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75EB712B" w14:textId="07DB9DFA" w:rsidR="00CB3629" w:rsidRDefault="00CB3629" w:rsidP="00CB3629">
      <w:pPr>
        <w:jc w:val="both"/>
      </w:pPr>
    </w:p>
    <w:p w14:paraId="2B119156" w14:textId="77777777" w:rsidR="00CB73E3" w:rsidRDefault="00CB73E3" w:rsidP="00CB3629">
      <w:pPr>
        <w:jc w:val="both"/>
        <w:rPr>
          <w:b/>
          <w:bCs/>
        </w:rPr>
      </w:pPr>
    </w:p>
    <w:p w14:paraId="70DE9F3F" w14:textId="364C6027" w:rsidR="00CB3629" w:rsidRPr="006014B0" w:rsidRDefault="00CB3629" w:rsidP="00CB3629">
      <w:pPr>
        <w:jc w:val="both"/>
        <w:rPr>
          <w:b/>
          <w:bCs/>
        </w:rPr>
      </w:pPr>
      <w:r>
        <w:rPr>
          <w:b/>
          <w:bCs/>
        </w:rPr>
        <w:lastRenderedPageBreak/>
        <w:t xml:space="preserve">Condición específica </w:t>
      </w:r>
      <w:proofErr w:type="spellStart"/>
      <w:r>
        <w:rPr>
          <w:b/>
          <w:bCs/>
        </w:rPr>
        <w:t>nº</w:t>
      </w:r>
      <w:proofErr w:type="spellEnd"/>
      <w:r>
        <w:rPr>
          <w:b/>
          <w:bCs/>
        </w:rPr>
        <w:t xml:space="preserve"> 3: </w:t>
      </w:r>
      <w:r w:rsidRPr="006014B0">
        <w:rPr>
          <w:b/>
          <w:bCs/>
        </w:rPr>
        <w:t xml:space="preserve"> </w:t>
      </w:r>
    </w:p>
    <w:p w14:paraId="309F757B" w14:textId="48E7CC33" w:rsidR="00CB73E3" w:rsidRPr="00CB73E3" w:rsidRDefault="00CB73E3" w:rsidP="00CB3629">
      <w:pPr>
        <w:jc w:val="both"/>
        <w:rPr>
          <w:highlight w:val="yellow"/>
        </w:rPr>
      </w:pPr>
      <w:r w:rsidRPr="00CB73E3">
        <w:t>Los riesgos de degradación ambiental relacionados con la conservación de la calidad del agua y la prevención del estrés hídrico se identificarán y abordarán con el objetivo de lograr un buen estado del agua y un buen potencial ecológico, tal como se define en el artículo 2, puntos 22 y 23, del Reglamento (UE) 2020/852 del Parlamento Europeo y del Consejo, de 18 de junio de 2020, de conformidad con la Directiva 2000/60/CE del Parlamento Europeo y del Consejo, de 23 de octubre de 2000, y un plan de gestión del uso y la protección del agua, desarrollado en virtud de la misma para la masa o masas de agua potencialmente afectadas, en consulta con las partes interesadas pertinentes. Se incluirá como requisito de implementación de las actuaciones incluidas en esta medida no se van a realizar infraestructuras que puedan alterar la hidrología.</w:t>
      </w:r>
    </w:p>
    <w:p w14:paraId="6046563A" w14:textId="420E1098" w:rsidR="00CB3629" w:rsidRPr="00591BED" w:rsidRDefault="00CB3629" w:rsidP="00CB3629">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3DF4A05D" w14:textId="77777777" w:rsidR="002C4E08" w:rsidRDefault="002C4E08" w:rsidP="00B75829">
      <w:pPr>
        <w:jc w:val="both"/>
        <w:rPr>
          <w:b/>
          <w:bCs/>
        </w:rPr>
      </w:pPr>
    </w:p>
    <w:p w14:paraId="4441FAF3" w14:textId="3BE0E66C" w:rsidR="00B75829" w:rsidRPr="006014B0" w:rsidRDefault="00B75829" w:rsidP="00B75829">
      <w:pPr>
        <w:jc w:val="both"/>
        <w:rPr>
          <w:b/>
          <w:bCs/>
        </w:rPr>
      </w:pPr>
      <w:r>
        <w:rPr>
          <w:b/>
          <w:bCs/>
        </w:rPr>
        <w:t xml:space="preserve">Condición específica </w:t>
      </w:r>
      <w:proofErr w:type="spellStart"/>
      <w:r>
        <w:rPr>
          <w:b/>
          <w:bCs/>
        </w:rPr>
        <w:t>nº</w:t>
      </w:r>
      <w:proofErr w:type="spellEnd"/>
      <w:r>
        <w:rPr>
          <w:b/>
          <w:bCs/>
        </w:rPr>
        <w:t xml:space="preserve"> 4: </w:t>
      </w:r>
      <w:r w:rsidRPr="006014B0">
        <w:rPr>
          <w:b/>
          <w:bCs/>
        </w:rPr>
        <w:t xml:space="preserve"> </w:t>
      </w:r>
    </w:p>
    <w:p w14:paraId="579D3EB2" w14:textId="77777777" w:rsidR="00CB73E3" w:rsidRDefault="00CB73E3" w:rsidP="00CB73E3">
      <w:pPr>
        <w:autoSpaceDE w:val="0"/>
        <w:autoSpaceDN w:val="0"/>
        <w:adjustRightInd w:val="0"/>
        <w:spacing w:after="0" w:line="240" w:lineRule="auto"/>
        <w:jc w:val="both"/>
        <w:rPr>
          <w:rFonts w:cstheme="minorHAnsi"/>
          <w:color w:val="000000"/>
        </w:rPr>
      </w:pPr>
      <w:r w:rsidRPr="00CB73E3">
        <w:rPr>
          <w:rFonts w:cstheme="minorHAnsi"/>
          <w:color w:val="000000"/>
        </w:rPr>
        <w:t>Los equipos utilizados cumplirán con los requisitos de eficiencia de materiales establecidos de acuerdo con la Directiva 2009/125/EC del Parlamento Europeo y del Consejo, de 21 de octubre de 2009, para servidores y almacenamiento de datos, u ordenadores y servidores de ordenadores o pantallas electrónicas. Los equipos no contendrán las sustancias restringidas enumeradas en el anexo II de la Directiva 2011/65/UE del Parlamento Europeo y del Consejo, de 8 de junio de 2011, excepto cuando los valores de concentración en peso en materiales homogéneos no superen los enumerados en dicho anexo. Al final de su vida útil, el equipo se someterá a una preparación para operaciones de reutilización, recuperación o reciclaje, o un tratamiento adecuado, incluida la eliminación de todos los fluidos y un tratamiento selectivo de acuerdo con el anexo VII de la Directiva 2012/19/UE del Parlamento Europeo y del Consejo, de 4 de julio de 2012.</w:t>
      </w:r>
    </w:p>
    <w:p w14:paraId="363E4E13" w14:textId="77777777" w:rsidR="00CB73E3" w:rsidRPr="00CB73E3" w:rsidRDefault="00CB73E3" w:rsidP="00CB73E3">
      <w:pPr>
        <w:autoSpaceDE w:val="0"/>
        <w:autoSpaceDN w:val="0"/>
        <w:adjustRightInd w:val="0"/>
        <w:spacing w:after="0" w:line="240" w:lineRule="auto"/>
        <w:jc w:val="both"/>
        <w:rPr>
          <w:rFonts w:cstheme="minorHAnsi"/>
          <w:color w:val="000000"/>
        </w:rPr>
      </w:pPr>
    </w:p>
    <w:p w14:paraId="16FDFF42" w14:textId="77777777" w:rsidR="00CB73E3" w:rsidRDefault="00CB73E3" w:rsidP="00CB73E3">
      <w:pPr>
        <w:pStyle w:val="Default"/>
        <w:jc w:val="both"/>
        <w:rPr>
          <w:rFonts w:asciiTheme="minorHAnsi" w:hAnsiTheme="minorHAnsi" w:cstheme="minorHAnsi"/>
          <w:sz w:val="22"/>
          <w:szCs w:val="22"/>
        </w:rPr>
      </w:pPr>
      <w:r w:rsidRPr="00CB73E3">
        <w:rPr>
          <w:rFonts w:asciiTheme="minorHAnsi" w:hAnsiTheme="minorHAnsi" w:cstheme="minorHAnsi"/>
          <w:sz w:val="22"/>
          <w:szCs w:val="22"/>
        </w:rPr>
        <w:t>Al menos el 70 % (en peso) de los residuos de construcción y demolición no peligrosos (excluido el material natural mencionado en la categoría 17 05 04 en la Lista europea de residuos establecida por la Decisión 2000/532/CE de la Comisión, de 3 de mayo de 2000) generados en las actuaciones previstas, será preparado para su reutilización, reciclaje y recuperación de otros materiales, incluidas las operaciones de</w:t>
      </w:r>
      <w:r w:rsidRPr="00CB73E3">
        <w:rPr>
          <w:rFonts w:asciiTheme="minorHAnsi" w:hAnsiTheme="minorHAnsi" w:cstheme="minorHAnsi"/>
          <w:sz w:val="22"/>
          <w:szCs w:val="22"/>
        </w:rPr>
        <w:t xml:space="preserve"> </w:t>
      </w:r>
      <w:r w:rsidRPr="00CB73E3">
        <w:rPr>
          <w:rFonts w:asciiTheme="minorHAnsi" w:hAnsiTheme="minorHAnsi" w:cstheme="minorHAnsi"/>
          <w:sz w:val="22"/>
          <w:szCs w:val="22"/>
        </w:rPr>
        <w:t>relleno utilizando residuos para sustituir otros materiales, de acuerdo con la jerarquía de residuos y el Protocolo de gestión de residuos de construcción y demolición de la UE.</w:t>
      </w:r>
    </w:p>
    <w:p w14:paraId="28DEC2BF" w14:textId="77777777" w:rsidR="00CB73E3" w:rsidRPr="00CB73E3" w:rsidRDefault="00CB73E3" w:rsidP="00CB73E3">
      <w:pPr>
        <w:pStyle w:val="Default"/>
        <w:jc w:val="both"/>
        <w:rPr>
          <w:rFonts w:asciiTheme="minorHAnsi" w:hAnsiTheme="minorHAnsi" w:cstheme="minorHAnsi"/>
          <w:sz w:val="22"/>
          <w:szCs w:val="22"/>
        </w:rPr>
      </w:pPr>
    </w:p>
    <w:p w14:paraId="293645B1" w14:textId="77777777" w:rsidR="00CB73E3" w:rsidRDefault="00CB73E3" w:rsidP="00CB73E3">
      <w:pPr>
        <w:autoSpaceDE w:val="0"/>
        <w:autoSpaceDN w:val="0"/>
        <w:adjustRightInd w:val="0"/>
        <w:spacing w:after="0" w:line="240" w:lineRule="auto"/>
        <w:jc w:val="both"/>
        <w:rPr>
          <w:rFonts w:cstheme="minorHAnsi"/>
          <w:color w:val="000000"/>
        </w:rPr>
      </w:pPr>
      <w:r w:rsidRPr="00CB73E3">
        <w:rPr>
          <w:rFonts w:cstheme="minorHAnsi"/>
          <w:color w:val="000000"/>
        </w:rPr>
        <w:t>Los agentes encargados de la construcción de las infraestructuras IT, limitarán la generación de residuos en los procesos relacionados con la construcción y demolición, de conformidad con el Protocolo de gestión de residuos de construcción y demolición de la UE y teniendo en cuenta las mejores técnicas disponibles y utilizando la demolición selectiva para permitir la eliminación y manipulación segura de sustancias peligrosas y facilitar la reutilización y reciclaje de alta calidad mediante la eliminación selectiva de materiales, utilizando los sistemas de clasificación disponibles para residuos de construcción y demolición.</w:t>
      </w:r>
    </w:p>
    <w:p w14:paraId="66EFDB46" w14:textId="77777777" w:rsidR="00CB73E3" w:rsidRPr="00CB73E3" w:rsidRDefault="00CB73E3" w:rsidP="00CB73E3">
      <w:pPr>
        <w:autoSpaceDE w:val="0"/>
        <w:autoSpaceDN w:val="0"/>
        <w:adjustRightInd w:val="0"/>
        <w:spacing w:after="0" w:line="240" w:lineRule="auto"/>
        <w:jc w:val="both"/>
        <w:rPr>
          <w:rFonts w:cstheme="minorHAnsi"/>
          <w:color w:val="000000"/>
        </w:rPr>
      </w:pPr>
    </w:p>
    <w:p w14:paraId="386FF16E" w14:textId="221C726A" w:rsidR="00CB73E3" w:rsidRPr="00CB73E3" w:rsidRDefault="00CB73E3" w:rsidP="00CB73E3">
      <w:pPr>
        <w:jc w:val="both"/>
        <w:rPr>
          <w:rFonts w:cstheme="minorHAnsi"/>
          <w:highlight w:val="yellow"/>
        </w:rPr>
      </w:pPr>
      <w:r w:rsidRPr="00CB73E3">
        <w:rPr>
          <w:rFonts w:cstheme="minorHAnsi"/>
          <w:color w:val="000000"/>
        </w:rPr>
        <w:t>Los diseños de los edificios y las técnicas de construcción apoyarán la circularidad en lo referido a la norma ISO 20887 para evaluar la capacidad de desmontaje o adaptabilidad de los edificios, cómo estos están diseñados para ser más eficientes en el uso de los recursos, adaptables, flexibles y desmontables para permitir la reutilización y el reciclaje.</w:t>
      </w:r>
    </w:p>
    <w:p w14:paraId="059E7E70" w14:textId="5C014990" w:rsidR="00B75829" w:rsidRPr="00591BED" w:rsidRDefault="00B75829" w:rsidP="00B75829">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0EB07C3D" w14:textId="77777777" w:rsidR="002C4E08" w:rsidRDefault="002C4E08" w:rsidP="00B75829">
      <w:pPr>
        <w:jc w:val="both"/>
        <w:rPr>
          <w:b/>
          <w:bCs/>
        </w:rPr>
      </w:pPr>
    </w:p>
    <w:p w14:paraId="24D0BDF7" w14:textId="77777777" w:rsidR="00CB73E3" w:rsidRDefault="00B75829" w:rsidP="00B75829">
      <w:pPr>
        <w:jc w:val="both"/>
        <w:rPr>
          <w:b/>
          <w:bCs/>
        </w:rPr>
      </w:pPr>
      <w:r>
        <w:rPr>
          <w:b/>
          <w:bCs/>
        </w:rPr>
        <w:lastRenderedPageBreak/>
        <w:t xml:space="preserve">Condición específica </w:t>
      </w:r>
      <w:proofErr w:type="spellStart"/>
      <w:r>
        <w:rPr>
          <w:b/>
          <w:bCs/>
        </w:rPr>
        <w:t>nº</w:t>
      </w:r>
      <w:proofErr w:type="spellEnd"/>
      <w:r>
        <w:rPr>
          <w:b/>
          <w:bCs/>
        </w:rPr>
        <w:t xml:space="preserve"> 5: </w:t>
      </w:r>
    </w:p>
    <w:p w14:paraId="27E885F1" w14:textId="64681B2A" w:rsidR="00B75829" w:rsidRPr="00CB73E3" w:rsidRDefault="00CB73E3" w:rsidP="00B75829">
      <w:pPr>
        <w:jc w:val="both"/>
        <w:rPr>
          <w:b/>
          <w:bCs/>
        </w:rPr>
      </w:pPr>
      <w:r w:rsidRPr="00CB73E3">
        <w:t xml:space="preserve">Se asegurará que las instalaciones de infraestructuras IT no afectarán negativamente a las buenas condiciones y la resiliencia de los ecosistemas, tampoco al estado de conservación de los hábitats y las especies, en particular los espacios de interés de la Unión. Por ello cuando sea preceptivo, se realizará la Evaluación de Impacto medioambiental, de acuerdo con lo establecido en la Directiva 2011/92/UE del Parlamento Europeo y del Consejo, de 13 de diciembre de 2011. </w:t>
      </w:r>
      <w:r w:rsidR="00B75829" w:rsidRPr="00CB73E3">
        <w:rPr>
          <w:b/>
          <w:bCs/>
        </w:rPr>
        <w:t xml:space="preserve"> </w:t>
      </w:r>
    </w:p>
    <w:p w14:paraId="592DDA66" w14:textId="77777777" w:rsidR="00B75829" w:rsidRPr="00591BED" w:rsidRDefault="00B75829" w:rsidP="00B75829">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63FC17E7" w14:textId="77777777" w:rsidR="00B75829" w:rsidRPr="00B75829" w:rsidRDefault="00B75829" w:rsidP="00B75829">
      <w:pPr>
        <w:jc w:val="both"/>
      </w:pPr>
    </w:p>
    <w:p w14:paraId="2F7BB5AE" w14:textId="3CCFA2AB" w:rsidR="002152B6" w:rsidRPr="002152B6" w:rsidRDefault="002152B6" w:rsidP="002152B6">
      <w:pPr>
        <w:ind w:left="708"/>
        <w:jc w:val="center"/>
        <w:rPr>
          <w:b/>
          <w:bCs/>
        </w:rPr>
      </w:pPr>
      <w:r w:rsidRPr="002152B6">
        <w:rPr>
          <w:b/>
          <w:bCs/>
          <w:highlight w:val="yellow"/>
        </w:rPr>
        <w:t>Firma electrónica</w:t>
      </w:r>
    </w:p>
    <w:sectPr w:rsidR="002152B6" w:rsidRPr="002152B6" w:rsidSect="000051D0">
      <w:headerReference w:type="default" r:id="rId8"/>
      <w:pgSz w:w="11910" w:h="16840"/>
      <w:pgMar w:top="1440" w:right="1080" w:bottom="1440" w:left="1080" w:header="834" w:footer="11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8B62C" w14:textId="77777777" w:rsidR="00464118" w:rsidRDefault="00464118" w:rsidP="00464118">
      <w:pPr>
        <w:spacing w:after="0" w:line="240" w:lineRule="auto"/>
      </w:pPr>
      <w:r>
        <w:separator/>
      </w:r>
    </w:p>
  </w:endnote>
  <w:endnote w:type="continuationSeparator" w:id="0">
    <w:p w14:paraId="4675C8D7" w14:textId="77777777" w:rsidR="00464118" w:rsidRDefault="00464118" w:rsidP="00464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hnschrift">
    <w:altName w:val="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3C9EE" w14:textId="77777777" w:rsidR="00464118" w:rsidRDefault="00464118" w:rsidP="00464118">
      <w:pPr>
        <w:spacing w:after="0" w:line="240" w:lineRule="auto"/>
      </w:pPr>
      <w:r>
        <w:separator/>
      </w:r>
    </w:p>
  </w:footnote>
  <w:footnote w:type="continuationSeparator" w:id="0">
    <w:p w14:paraId="0D9D01D0" w14:textId="77777777" w:rsidR="00464118" w:rsidRDefault="00464118" w:rsidP="00464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A025" w14:textId="11982F19" w:rsidR="00464118" w:rsidRDefault="002C4E08" w:rsidP="00464118">
    <w:pPr>
      <w:pStyle w:val="Header10"/>
      <w:spacing w:before="0"/>
    </w:pPr>
    <w:r>
      <w:rPr>
        <w:noProof/>
      </w:rPr>
      <w:drawing>
        <wp:anchor distT="0" distB="0" distL="114300" distR="114300" simplePos="0" relativeHeight="251659264" behindDoc="0" locked="0" layoutInCell="1" allowOverlap="1" wp14:anchorId="16538A48" wp14:editId="1DECA87A">
          <wp:simplePos x="0" y="0"/>
          <wp:positionH relativeFrom="margin">
            <wp:posOffset>0</wp:posOffset>
          </wp:positionH>
          <wp:positionV relativeFrom="margin">
            <wp:posOffset>-685165</wp:posOffset>
          </wp:positionV>
          <wp:extent cx="6770370" cy="504825"/>
          <wp:effectExtent l="0" t="0" r="0" b="9525"/>
          <wp:wrapSquare wrapText="bothSides"/>
          <wp:docPr id="20760777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077714" name="Imagen 2076077714"/>
                  <pic:cNvPicPr/>
                </pic:nvPicPr>
                <pic:blipFill>
                  <a:blip r:embed="rId1">
                    <a:extLst>
                      <a:ext uri="{28A0092B-C50C-407E-A947-70E740481C1C}">
                        <a14:useLocalDpi xmlns:a14="http://schemas.microsoft.com/office/drawing/2010/main" val="0"/>
                      </a:ext>
                    </a:extLst>
                  </a:blip>
                  <a:stretch>
                    <a:fillRect/>
                  </a:stretch>
                </pic:blipFill>
                <pic:spPr>
                  <a:xfrm>
                    <a:off x="0" y="0"/>
                    <a:ext cx="6770370" cy="504825"/>
                  </a:xfrm>
                  <a:prstGeom prst="rect">
                    <a:avLst/>
                  </a:prstGeom>
                </pic:spPr>
              </pic:pic>
            </a:graphicData>
          </a:graphic>
          <wp14:sizeRelH relativeFrom="margin">
            <wp14:pctWidth>0</wp14:pctWidth>
          </wp14:sizeRelH>
          <wp14:sizeRelV relativeFrom="margin">
            <wp14:pctHeight>0</wp14:pctHeight>
          </wp14:sizeRelV>
        </wp:anchor>
      </w:drawing>
    </w:r>
    <w:r w:rsidR="00464118">
      <w:t xml:space="preserve"> </w:t>
    </w:r>
    <w:r w:rsidR="00464118">
      <w:rPr>
        <w:noProof/>
        <w:color w:val="1F497D"/>
        <w:shd w:val="clear" w:color="auto" w:fill="E6E6E6"/>
        <w:lang w:eastAsia="es-ES"/>
      </w:rPr>
      <w:t xml:space="preserve"> </w:t>
    </w:r>
  </w:p>
  <w:p w14:paraId="19661443" w14:textId="77777777" w:rsidR="00464118" w:rsidRDefault="004641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519"/>
    <w:multiLevelType w:val="hybridMultilevel"/>
    <w:tmpl w:val="3F1A1FE4"/>
    <w:lvl w:ilvl="0" w:tplc="E7822ACC">
      <w:numFmt w:val="bullet"/>
      <w:lvlText w:val="-"/>
      <w:lvlJc w:val="left"/>
      <w:pPr>
        <w:ind w:left="106" w:hanging="96"/>
      </w:pPr>
      <w:rPr>
        <w:rFonts w:ascii="Calibri" w:eastAsia="Calibri" w:hAnsi="Calibri" w:cs="Calibri" w:hint="default"/>
        <w:b w:val="0"/>
        <w:bCs w:val="0"/>
        <w:i w:val="0"/>
        <w:iCs w:val="0"/>
        <w:spacing w:val="0"/>
        <w:w w:val="100"/>
        <w:sz w:val="18"/>
        <w:szCs w:val="18"/>
        <w:lang w:val="es-ES" w:eastAsia="en-US" w:bidi="ar-SA"/>
      </w:rPr>
    </w:lvl>
    <w:lvl w:ilvl="1" w:tplc="1C5086E6">
      <w:numFmt w:val="bullet"/>
      <w:lvlText w:val="•"/>
      <w:lvlJc w:val="left"/>
      <w:pPr>
        <w:ind w:left="721" w:hanging="96"/>
      </w:pPr>
      <w:rPr>
        <w:rFonts w:hint="default"/>
        <w:lang w:val="es-ES" w:eastAsia="en-US" w:bidi="ar-SA"/>
      </w:rPr>
    </w:lvl>
    <w:lvl w:ilvl="2" w:tplc="9BEE5FE0">
      <w:numFmt w:val="bullet"/>
      <w:lvlText w:val="•"/>
      <w:lvlJc w:val="left"/>
      <w:pPr>
        <w:ind w:left="1342" w:hanging="96"/>
      </w:pPr>
      <w:rPr>
        <w:rFonts w:hint="default"/>
        <w:lang w:val="es-ES" w:eastAsia="en-US" w:bidi="ar-SA"/>
      </w:rPr>
    </w:lvl>
    <w:lvl w:ilvl="3" w:tplc="84F8BD0E">
      <w:numFmt w:val="bullet"/>
      <w:lvlText w:val="•"/>
      <w:lvlJc w:val="left"/>
      <w:pPr>
        <w:ind w:left="1964" w:hanging="96"/>
      </w:pPr>
      <w:rPr>
        <w:rFonts w:hint="default"/>
        <w:lang w:val="es-ES" w:eastAsia="en-US" w:bidi="ar-SA"/>
      </w:rPr>
    </w:lvl>
    <w:lvl w:ilvl="4" w:tplc="697E938C">
      <w:numFmt w:val="bullet"/>
      <w:lvlText w:val="•"/>
      <w:lvlJc w:val="left"/>
      <w:pPr>
        <w:ind w:left="2585" w:hanging="96"/>
      </w:pPr>
      <w:rPr>
        <w:rFonts w:hint="default"/>
        <w:lang w:val="es-ES" w:eastAsia="en-US" w:bidi="ar-SA"/>
      </w:rPr>
    </w:lvl>
    <w:lvl w:ilvl="5" w:tplc="E8BC2F04">
      <w:numFmt w:val="bullet"/>
      <w:lvlText w:val="•"/>
      <w:lvlJc w:val="left"/>
      <w:pPr>
        <w:ind w:left="3207" w:hanging="96"/>
      </w:pPr>
      <w:rPr>
        <w:rFonts w:hint="default"/>
        <w:lang w:val="es-ES" w:eastAsia="en-US" w:bidi="ar-SA"/>
      </w:rPr>
    </w:lvl>
    <w:lvl w:ilvl="6" w:tplc="21004B14">
      <w:numFmt w:val="bullet"/>
      <w:lvlText w:val="•"/>
      <w:lvlJc w:val="left"/>
      <w:pPr>
        <w:ind w:left="3828" w:hanging="96"/>
      </w:pPr>
      <w:rPr>
        <w:rFonts w:hint="default"/>
        <w:lang w:val="es-ES" w:eastAsia="en-US" w:bidi="ar-SA"/>
      </w:rPr>
    </w:lvl>
    <w:lvl w:ilvl="7" w:tplc="CFE04ED6">
      <w:numFmt w:val="bullet"/>
      <w:lvlText w:val="•"/>
      <w:lvlJc w:val="left"/>
      <w:pPr>
        <w:ind w:left="4449" w:hanging="96"/>
      </w:pPr>
      <w:rPr>
        <w:rFonts w:hint="default"/>
        <w:lang w:val="es-ES" w:eastAsia="en-US" w:bidi="ar-SA"/>
      </w:rPr>
    </w:lvl>
    <w:lvl w:ilvl="8" w:tplc="E1807B3C">
      <w:numFmt w:val="bullet"/>
      <w:lvlText w:val="•"/>
      <w:lvlJc w:val="left"/>
      <w:pPr>
        <w:ind w:left="5071" w:hanging="96"/>
      </w:pPr>
      <w:rPr>
        <w:rFonts w:hint="default"/>
        <w:lang w:val="es-ES" w:eastAsia="en-US" w:bidi="ar-SA"/>
      </w:rPr>
    </w:lvl>
  </w:abstractNum>
  <w:abstractNum w:abstractNumId="1" w15:restartNumberingAfterBreak="0">
    <w:nsid w:val="0DC869E0"/>
    <w:multiLevelType w:val="hybridMultilevel"/>
    <w:tmpl w:val="2C448D8A"/>
    <w:lvl w:ilvl="0" w:tplc="AA66ACA8">
      <w:start w:val="4"/>
      <w:numFmt w:val="bullet"/>
      <w:lvlText w:val=""/>
      <w:lvlJc w:val="left"/>
      <w:pPr>
        <w:ind w:left="720" w:hanging="360"/>
      </w:pPr>
      <w:rPr>
        <w:rFonts w:ascii="Wingdings" w:eastAsiaTheme="minorHAnsi" w:hAnsi="Wingding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2D33517"/>
    <w:multiLevelType w:val="hybridMultilevel"/>
    <w:tmpl w:val="1D5E23CC"/>
    <w:lvl w:ilvl="0" w:tplc="09069AAC">
      <w:start w:val="4"/>
      <w:numFmt w:val="bullet"/>
      <w:lvlText w:val="-"/>
      <w:lvlJc w:val="left"/>
      <w:pPr>
        <w:ind w:left="1070" w:hanging="360"/>
      </w:pPr>
      <w:rPr>
        <w:rFonts w:ascii="Calibri" w:eastAsiaTheme="minorHAnsi" w:hAnsi="Calibri" w:cs="Calibri" w:hint="default"/>
        <w:color w:val="auto"/>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3" w15:restartNumberingAfterBreak="0">
    <w:nsid w:val="395114A3"/>
    <w:multiLevelType w:val="hybridMultilevel"/>
    <w:tmpl w:val="D50CE234"/>
    <w:lvl w:ilvl="0" w:tplc="9D8ED1C4">
      <w:numFmt w:val="bullet"/>
      <w:lvlText w:val="-"/>
      <w:lvlJc w:val="left"/>
      <w:pPr>
        <w:ind w:left="106" w:hanging="219"/>
      </w:pPr>
      <w:rPr>
        <w:rFonts w:ascii="Bahnschrift" w:eastAsia="Bahnschrift" w:hAnsi="Bahnschrift" w:cs="Bahnschrift" w:hint="default"/>
        <w:b w:val="0"/>
        <w:bCs w:val="0"/>
        <w:i w:val="0"/>
        <w:iCs w:val="0"/>
        <w:spacing w:val="0"/>
        <w:w w:val="100"/>
        <w:sz w:val="18"/>
        <w:szCs w:val="18"/>
        <w:lang w:val="es-ES" w:eastAsia="en-US" w:bidi="ar-SA"/>
      </w:rPr>
    </w:lvl>
    <w:lvl w:ilvl="1" w:tplc="E922522A">
      <w:numFmt w:val="bullet"/>
      <w:lvlText w:val="•"/>
      <w:lvlJc w:val="left"/>
      <w:pPr>
        <w:ind w:left="721" w:hanging="219"/>
      </w:pPr>
      <w:rPr>
        <w:rFonts w:hint="default"/>
        <w:lang w:val="es-ES" w:eastAsia="en-US" w:bidi="ar-SA"/>
      </w:rPr>
    </w:lvl>
    <w:lvl w:ilvl="2" w:tplc="AF9CA5CC">
      <w:numFmt w:val="bullet"/>
      <w:lvlText w:val="•"/>
      <w:lvlJc w:val="left"/>
      <w:pPr>
        <w:ind w:left="1342" w:hanging="219"/>
      </w:pPr>
      <w:rPr>
        <w:rFonts w:hint="default"/>
        <w:lang w:val="es-ES" w:eastAsia="en-US" w:bidi="ar-SA"/>
      </w:rPr>
    </w:lvl>
    <w:lvl w:ilvl="3" w:tplc="FA7C176A">
      <w:numFmt w:val="bullet"/>
      <w:lvlText w:val="•"/>
      <w:lvlJc w:val="left"/>
      <w:pPr>
        <w:ind w:left="1964" w:hanging="219"/>
      </w:pPr>
      <w:rPr>
        <w:rFonts w:hint="default"/>
        <w:lang w:val="es-ES" w:eastAsia="en-US" w:bidi="ar-SA"/>
      </w:rPr>
    </w:lvl>
    <w:lvl w:ilvl="4" w:tplc="BA4CA438">
      <w:numFmt w:val="bullet"/>
      <w:lvlText w:val="•"/>
      <w:lvlJc w:val="left"/>
      <w:pPr>
        <w:ind w:left="2585" w:hanging="219"/>
      </w:pPr>
      <w:rPr>
        <w:rFonts w:hint="default"/>
        <w:lang w:val="es-ES" w:eastAsia="en-US" w:bidi="ar-SA"/>
      </w:rPr>
    </w:lvl>
    <w:lvl w:ilvl="5" w:tplc="A8E62924">
      <w:numFmt w:val="bullet"/>
      <w:lvlText w:val="•"/>
      <w:lvlJc w:val="left"/>
      <w:pPr>
        <w:ind w:left="3207" w:hanging="219"/>
      </w:pPr>
      <w:rPr>
        <w:rFonts w:hint="default"/>
        <w:lang w:val="es-ES" w:eastAsia="en-US" w:bidi="ar-SA"/>
      </w:rPr>
    </w:lvl>
    <w:lvl w:ilvl="6" w:tplc="CDFE11D0">
      <w:numFmt w:val="bullet"/>
      <w:lvlText w:val="•"/>
      <w:lvlJc w:val="left"/>
      <w:pPr>
        <w:ind w:left="3828" w:hanging="219"/>
      </w:pPr>
      <w:rPr>
        <w:rFonts w:hint="default"/>
        <w:lang w:val="es-ES" w:eastAsia="en-US" w:bidi="ar-SA"/>
      </w:rPr>
    </w:lvl>
    <w:lvl w:ilvl="7" w:tplc="CF7C50C6">
      <w:numFmt w:val="bullet"/>
      <w:lvlText w:val="•"/>
      <w:lvlJc w:val="left"/>
      <w:pPr>
        <w:ind w:left="4449" w:hanging="219"/>
      </w:pPr>
      <w:rPr>
        <w:rFonts w:hint="default"/>
        <w:lang w:val="es-ES" w:eastAsia="en-US" w:bidi="ar-SA"/>
      </w:rPr>
    </w:lvl>
    <w:lvl w:ilvl="8" w:tplc="38B002E6">
      <w:numFmt w:val="bullet"/>
      <w:lvlText w:val="•"/>
      <w:lvlJc w:val="left"/>
      <w:pPr>
        <w:ind w:left="5071" w:hanging="219"/>
      </w:pPr>
      <w:rPr>
        <w:rFonts w:hint="default"/>
        <w:lang w:val="es-ES" w:eastAsia="en-US" w:bidi="ar-SA"/>
      </w:rPr>
    </w:lvl>
  </w:abstractNum>
  <w:abstractNum w:abstractNumId="4" w15:restartNumberingAfterBreak="0">
    <w:nsid w:val="504943D8"/>
    <w:multiLevelType w:val="hybridMultilevel"/>
    <w:tmpl w:val="FB2C6FA4"/>
    <w:lvl w:ilvl="0" w:tplc="71487BC6">
      <w:start w:val="1"/>
      <w:numFmt w:val="lowerRoman"/>
      <w:lvlText w:val="(%1)"/>
      <w:lvlJc w:val="left"/>
      <w:pPr>
        <w:ind w:left="107" w:hanging="192"/>
        <w:jc w:val="left"/>
      </w:pPr>
      <w:rPr>
        <w:rFonts w:ascii="Calibri" w:eastAsia="Calibri" w:hAnsi="Calibri" w:cs="Calibri" w:hint="default"/>
        <w:b w:val="0"/>
        <w:bCs w:val="0"/>
        <w:i w:val="0"/>
        <w:iCs w:val="0"/>
        <w:spacing w:val="-1"/>
        <w:w w:val="100"/>
        <w:sz w:val="18"/>
        <w:szCs w:val="18"/>
        <w:lang w:val="es-ES" w:eastAsia="en-US" w:bidi="ar-SA"/>
      </w:rPr>
    </w:lvl>
    <w:lvl w:ilvl="1" w:tplc="D032AEAE">
      <w:numFmt w:val="bullet"/>
      <w:lvlText w:val="•"/>
      <w:lvlJc w:val="left"/>
      <w:pPr>
        <w:ind w:left="343" w:hanging="192"/>
      </w:pPr>
      <w:rPr>
        <w:rFonts w:hint="default"/>
        <w:lang w:val="es-ES" w:eastAsia="en-US" w:bidi="ar-SA"/>
      </w:rPr>
    </w:lvl>
    <w:lvl w:ilvl="2" w:tplc="BC70B0DC">
      <w:numFmt w:val="bullet"/>
      <w:lvlText w:val="•"/>
      <w:lvlJc w:val="left"/>
      <w:pPr>
        <w:ind w:left="587" w:hanging="192"/>
      </w:pPr>
      <w:rPr>
        <w:rFonts w:hint="default"/>
        <w:lang w:val="es-ES" w:eastAsia="en-US" w:bidi="ar-SA"/>
      </w:rPr>
    </w:lvl>
    <w:lvl w:ilvl="3" w:tplc="74A8E020">
      <w:numFmt w:val="bullet"/>
      <w:lvlText w:val="•"/>
      <w:lvlJc w:val="left"/>
      <w:pPr>
        <w:ind w:left="831" w:hanging="192"/>
      </w:pPr>
      <w:rPr>
        <w:rFonts w:hint="default"/>
        <w:lang w:val="es-ES" w:eastAsia="en-US" w:bidi="ar-SA"/>
      </w:rPr>
    </w:lvl>
    <w:lvl w:ilvl="4" w:tplc="EBB87A1A">
      <w:numFmt w:val="bullet"/>
      <w:lvlText w:val="•"/>
      <w:lvlJc w:val="left"/>
      <w:pPr>
        <w:ind w:left="1075" w:hanging="192"/>
      </w:pPr>
      <w:rPr>
        <w:rFonts w:hint="default"/>
        <w:lang w:val="es-ES" w:eastAsia="en-US" w:bidi="ar-SA"/>
      </w:rPr>
    </w:lvl>
    <w:lvl w:ilvl="5" w:tplc="BB008922">
      <w:numFmt w:val="bullet"/>
      <w:lvlText w:val="•"/>
      <w:lvlJc w:val="left"/>
      <w:pPr>
        <w:ind w:left="1319" w:hanging="192"/>
      </w:pPr>
      <w:rPr>
        <w:rFonts w:hint="default"/>
        <w:lang w:val="es-ES" w:eastAsia="en-US" w:bidi="ar-SA"/>
      </w:rPr>
    </w:lvl>
    <w:lvl w:ilvl="6" w:tplc="7AA20A3C">
      <w:numFmt w:val="bullet"/>
      <w:lvlText w:val="•"/>
      <w:lvlJc w:val="left"/>
      <w:pPr>
        <w:ind w:left="1563" w:hanging="192"/>
      </w:pPr>
      <w:rPr>
        <w:rFonts w:hint="default"/>
        <w:lang w:val="es-ES" w:eastAsia="en-US" w:bidi="ar-SA"/>
      </w:rPr>
    </w:lvl>
    <w:lvl w:ilvl="7" w:tplc="ED9C0450">
      <w:numFmt w:val="bullet"/>
      <w:lvlText w:val="•"/>
      <w:lvlJc w:val="left"/>
      <w:pPr>
        <w:ind w:left="1807" w:hanging="192"/>
      </w:pPr>
      <w:rPr>
        <w:rFonts w:hint="default"/>
        <w:lang w:val="es-ES" w:eastAsia="en-US" w:bidi="ar-SA"/>
      </w:rPr>
    </w:lvl>
    <w:lvl w:ilvl="8" w:tplc="BF584B6A">
      <w:numFmt w:val="bullet"/>
      <w:lvlText w:val="•"/>
      <w:lvlJc w:val="left"/>
      <w:pPr>
        <w:ind w:left="2051" w:hanging="192"/>
      </w:pPr>
      <w:rPr>
        <w:rFonts w:hint="default"/>
        <w:lang w:val="es-ES" w:eastAsia="en-US" w:bidi="ar-SA"/>
      </w:rPr>
    </w:lvl>
  </w:abstractNum>
  <w:abstractNum w:abstractNumId="5" w15:restartNumberingAfterBreak="0">
    <w:nsid w:val="57CF712F"/>
    <w:multiLevelType w:val="hybridMultilevel"/>
    <w:tmpl w:val="C6A417BC"/>
    <w:lvl w:ilvl="0" w:tplc="004EF940">
      <w:start w:val="1"/>
      <w:numFmt w:val="lowerRoman"/>
      <w:lvlText w:val="(%1)"/>
      <w:lvlJc w:val="left"/>
      <w:pPr>
        <w:ind w:left="107" w:hanging="274"/>
        <w:jc w:val="left"/>
      </w:pPr>
      <w:rPr>
        <w:rFonts w:ascii="Calibri" w:eastAsia="Calibri" w:hAnsi="Calibri" w:cs="Calibri" w:hint="default"/>
        <w:b w:val="0"/>
        <w:bCs w:val="0"/>
        <w:i w:val="0"/>
        <w:iCs w:val="0"/>
        <w:spacing w:val="-1"/>
        <w:w w:val="100"/>
        <w:sz w:val="18"/>
        <w:szCs w:val="18"/>
        <w:lang w:val="es-ES" w:eastAsia="en-US" w:bidi="ar-SA"/>
      </w:rPr>
    </w:lvl>
    <w:lvl w:ilvl="1" w:tplc="C036874C">
      <w:numFmt w:val="bullet"/>
      <w:lvlText w:val="•"/>
      <w:lvlJc w:val="left"/>
      <w:pPr>
        <w:ind w:left="343" w:hanging="274"/>
      </w:pPr>
      <w:rPr>
        <w:rFonts w:hint="default"/>
        <w:lang w:val="es-ES" w:eastAsia="en-US" w:bidi="ar-SA"/>
      </w:rPr>
    </w:lvl>
    <w:lvl w:ilvl="2" w:tplc="E020B520">
      <w:numFmt w:val="bullet"/>
      <w:lvlText w:val="•"/>
      <w:lvlJc w:val="left"/>
      <w:pPr>
        <w:ind w:left="587" w:hanging="274"/>
      </w:pPr>
      <w:rPr>
        <w:rFonts w:hint="default"/>
        <w:lang w:val="es-ES" w:eastAsia="en-US" w:bidi="ar-SA"/>
      </w:rPr>
    </w:lvl>
    <w:lvl w:ilvl="3" w:tplc="091A8934">
      <w:numFmt w:val="bullet"/>
      <w:lvlText w:val="•"/>
      <w:lvlJc w:val="left"/>
      <w:pPr>
        <w:ind w:left="831" w:hanging="274"/>
      </w:pPr>
      <w:rPr>
        <w:rFonts w:hint="default"/>
        <w:lang w:val="es-ES" w:eastAsia="en-US" w:bidi="ar-SA"/>
      </w:rPr>
    </w:lvl>
    <w:lvl w:ilvl="4" w:tplc="0D862DE8">
      <w:numFmt w:val="bullet"/>
      <w:lvlText w:val="•"/>
      <w:lvlJc w:val="left"/>
      <w:pPr>
        <w:ind w:left="1075" w:hanging="274"/>
      </w:pPr>
      <w:rPr>
        <w:rFonts w:hint="default"/>
        <w:lang w:val="es-ES" w:eastAsia="en-US" w:bidi="ar-SA"/>
      </w:rPr>
    </w:lvl>
    <w:lvl w:ilvl="5" w:tplc="62E20078">
      <w:numFmt w:val="bullet"/>
      <w:lvlText w:val="•"/>
      <w:lvlJc w:val="left"/>
      <w:pPr>
        <w:ind w:left="1319" w:hanging="274"/>
      </w:pPr>
      <w:rPr>
        <w:rFonts w:hint="default"/>
        <w:lang w:val="es-ES" w:eastAsia="en-US" w:bidi="ar-SA"/>
      </w:rPr>
    </w:lvl>
    <w:lvl w:ilvl="6" w:tplc="75C8D43C">
      <w:numFmt w:val="bullet"/>
      <w:lvlText w:val="•"/>
      <w:lvlJc w:val="left"/>
      <w:pPr>
        <w:ind w:left="1563" w:hanging="274"/>
      </w:pPr>
      <w:rPr>
        <w:rFonts w:hint="default"/>
        <w:lang w:val="es-ES" w:eastAsia="en-US" w:bidi="ar-SA"/>
      </w:rPr>
    </w:lvl>
    <w:lvl w:ilvl="7" w:tplc="84148236">
      <w:numFmt w:val="bullet"/>
      <w:lvlText w:val="•"/>
      <w:lvlJc w:val="left"/>
      <w:pPr>
        <w:ind w:left="1807" w:hanging="274"/>
      </w:pPr>
      <w:rPr>
        <w:rFonts w:hint="default"/>
        <w:lang w:val="es-ES" w:eastAsia="en-US" w:bidi="ar-SA"/>
      </w:rPr>
    </w:lvl>
    <w:lvl w:ilvl="8" w:tplc="F5B60312">
      <w:numFmt w:val="bullet"/>
      <w:lvlText w:val="•"/>
      <w:lvlJc w:val="left"/>
      <w:pPr>
        <w:ind w:left="2051" w:hanging="274"/>
      </w:pPr>
      <w:rPr>
        <w:rFonts w:hint="default"/>
        <w:lang w:val="es-ES" w:eastAsia="en-US" w:bidi="ar-SA"/>
      </w:rPr>
    </w:lvl>
  </w:abstractNum>
  <w:abstractNum w:abstractNumId="6" w15:restartNumberingAfterBreak="0">
    <w:nsid w:val="5ACC0D7B"/>
    <w:multiLevelType w:val="hybridMultilevel"/>
    <w:tmpl w:val="B9A47866"/>
    <w:lvl w:ilvl="0" w:tplc="7B1C6C38">
      <w:start w:val="1"/>
      <w:numFmt w:val="lowerRoman"/>
      <w:lvlText w:val="(%1)"/>
      <w:lvlJc w:val="left"/>
      <w:pPr>
        <w:ind w:left="107" w:hanging="192"/>
        <w:jc w:val="left"/>
      </w:pPr>
      <w:rPr>
        <w:rFonts w:ascii="Calibri" w:eastAsia="Calibri" w:hAnsi="Calibri" w:cs="Calibri" w:hint="default"/>
        <w:b w:val="0"/>
        <w:bCs w:val="0"/>
        <w:i w:val="0"/>
        <w:iCs w:val="0"/>
        <w:spacing w:val="-1"/>
        <w:w w:val="100"/>
        <w:sz w:val="18"/>
        <w:szCs w:val="18"/>
        <w:lang w:val="es-ES" w:eastAsia="en-US" w:bidi="ar-SA"/>
      </w:rPr>
    </w:lvl>
    <w:lvl w:ilvl="1" w:tplc="0B9A5616">
      <w:numFmt w:val="bullet"/>
      <w:lvlText w:val="•"/>
      <w:lvlJc w:val="left"/>
      <w:pPr>
        <w:ind w:left="343" w:hanging="192"/>
      </w:pPr>
      <w:rPr>
        <w:rFonts w:hint="default"/>
        <w:lang w:val="es-ES" w:eastAsia="en-US" w:bidi="ar-SA"/>
      </w:rPr>
    </w:lvl>
    <w:lvl w:ilvl="2" w:tplc="FB56D5CC">
      <w:numFmt w:val="bullet"/>
      <w:lvlText w:val="•"/>
      <w:lvlJc w:val="left"/>
      <w:pPr>
        <w:ind w:left="587" w:hanging="192"/>
      </w:pPr>
      <w:rPr>
        <w:rFonts w:hint="default"/>
        <w:lang w:val="es-ES" w:eastAsia="en-US" w:bidi="ar-SA"/>
      </w:rPr>
    </w:lvl>
    <w:lvl w:ilvl="3" w:tplc="7C508218">
      <w:numFmt w:val="bullet"/>
      <w:lvlText w:val="•"/>
      <w:lvlJc w:val="left"/>
      <w:pPr>
        <w:ind w:left="831" w:hanging="192"/>
      </w:pPr>
      <w:rPr>
        <w:rFonts w:hint="default"/>
        <w:lang w:val="es-ES" w:eastAsia="en-US" w:bidi="ar-SA"/>
      </w:rPr>
    </w:lvl>
    <w:lvl w:ilvl="4" w:tplc="64849ACA">
      <w:numFmt w:val="bullet"/>
      <w:lvlText w:val="•"/>
      <w:lvlJc w:val="left"/>
      <w:pPr>
        <w:ind w:left="1075" w:hanging="192"/>
      </w:pPr>
      <w:rPr>
        <w:rFonts w:hint="default"/>
        <w:lang w:val="es-ES" w:eastAsia="en-US" w:bidi="ar-SA"/>
      </w:rPr>
    </w:lvl>
    <w:lvl w:ilvl="5" w:tplc="E7CE7A46">
      <w:numFmt w:val="bullet"/>
      <w:lvlText w:val="•"/>
      <w:lvlJc w:val="left"/>
      <w:pPr>
        <w:ind w:left="1319" w:hanging="192"/>
      </w:pPr>
      <w:rPr>
        <w:rFonts w:hint="default"/>
        <w:lang w:val="es-ES" w:eastAsia="en-US" w:bidi="ar-SA"/>
      </w:rPr>
    </w:lvl>
    <w:lvl w:ilvl="6" w:tplc="6B586886">
      <w:numFmt w:val="bullet"/>
      <w:lvlText w:val="•"/>
      <w:lvlJc w:val="left"/>
      <w:pPr>
        <w:ind w:left="1563" w:hanging="192"/>
      </w:pPr>
      <w:rPr>
        <w:rFonts w:hint="default"/>
        <w:lang w:val="es-ES" w:eastAsia="en-US" w:bidi="ar-SA"/>
      </w:rPr>
    </w:lvl>
    <w:lvl w:ilvl="7" w:tplc="44362C9C">
      <w:numFmt w:val="bullet"/>
      <w:lvlText w:val="•"/>
      <w:lvlJc w:val="left"/>
      <w:pPr>
        <w:ind w:left="1807" w:hanging="192"/>
      </w:pPr>
      <w:rPr>
        <w:rFonts w:hint="default"/>
        <w:lang w:val="es-ES" w:eastAsia="en-US" w:bidi="ar-SA"/>
      </w:rPr>
    </w:lvl>
    <w:lvl w:ilvl="8" w:tplc="E1727BE0">
      <w:numFmt w:val="bullet"/>
      <w:lvlText w:val="•"/>
      <w:lvlJc w:val="left"/>
      <w:pPr>
        <w:ind w:left="2051" w:hanging="192"/>
      </w:pPr>
      <w:rPr>
        <w:rFonts w:hint="default"/>
        <w:lang w:val="es-ES" w:eastAsia="en-US" w:bidi="ar-SA"/>
      </w:rPr>
    </w:lvl>
  </w:abstractNum>
  <w:num w:numId="1" w16cid:durableId="1374115255">
    <w:abstractNumId w:val="1"/>
  </w:num>
  <w:num w:numId="2" w16cid:durableId="1035543447">
    <w:abstractNumId w:val="2"/>
  </w:num>
  <w:num w:numId="3" w16cid:durableId="1985115028">
    <w:abstractNumId w:val="3"/>
  </w:num>
  <w:num w:numId="4" w16cid:durableId="102041422">
    <w:abstractNumId w:val="4"/>
  </w:num>
  <w:num w:numId="5" w16cid:durableId="119347563">
    <w:abstractNumId w:val="6"/>
  </w:num>
  <w:num w:numId="6" w16cid:durableId="1783761959">
    <w:abstractNumId w:val="5"/>
  </w:num>
  <w:num w:numId="7" w16cid:durableId="1304390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DE"/>
    <w:rsid w:val="000051D0"/>
    <w:rsid w:val="00064045"/>
    <w:rsid w:val="00065287"/>
    <w:rsid w:val="001A4255"/>
    <w:rsid w:val="00205935"/>
    <w:rsid w:val="002152B6"/>
    <w:rsid w:val="002415C9"/>
    <w:rsid w:val="002C365C"/>
    <w:rsid w:val="002C4E08"/>
    <w:rsid w:val="0038724F"/>
    <w:rsid w:val="00464118"/>
    <w:rsid w:val="004A51E7"/>
    <w:rsid w:val="004E6C90"/>
    <w:rsid w:val="006A617E"/>
    <w:rsid w:val="006E0C92"/>
    <w:rsid w:val="007D5953"/>
    <w:rsid w:val="00957C87"/>
    <w:rsid w:val="00991C2B"/>
    <w:rsid w:val="00A57D5E"/>
    <w:rsid w:val="00AA7984"/>
    <w:rsid w:val="00B75829"/>
    <w:rsid w:val="00BB1816"/>
    <w:rsid w:val="00C309D4"/>
    <w:rsid w:val="00C628BD"/>
    <w:rsid w:val="00C8282E"/>
    <w:rsid w:val="00CA05BB"/>
    <w:rsid w:val="00CA4A93"/>
    <w:rsid w:val="00CB3629"/>
    <w:rsid w:val="00CB73E3"/>
    <w:rsid w:val="00CC2B3C"/>
    <w:rsid w:val="00CC64DE"/>
    <w:rsid w:val="00D0748E"/>
    <w:rsid w:val="00D41823"/>
    <w:rsid w:val="00D457D6"/>
    <w:rsid w:val="00D5302A"/>
    <w:rsid w:val="00E60286"/>
    <w:rsid w:val="00F01B8F"/>
    <w:rsid w:val="00FA37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7AFF24"/>
  <w15:chartTrackingRefBased/>
  <w15:docId w15:val="{4F5D3D09-18B6-437B-A5D0-2951EE5E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15C9"/>
    <w:pPr>
      <w:ind w:left="720"/>
      <w:contextualSpacing/>
    </w:pPr>
  </w:style>
  <w:style w:type="character" w:styleId="Hipervnculo">
    <w:name w:val="Hyperlink"/>
    <w:basedOn w:val="Fuentedeprrafopredeter"/>
    <w:uiPriority w:val="99"/>
    <w:unhideWhenUsed/>
    <w:rsid w:val="00C8282E"/>
    <w:rPr>
      <w:color w:val="0000FF"/>
      <w:u w:val="single"/>
    </w:rPr>
  </w:style>
  <w:style w:type="table" w:customStyle="1" w:styleId="TableNormal">
    <w:name w:val="Table Normal"/>
    <w:uiPriority w:val="2"/>
    <w:semiHidden/>
    <w:unhideWhenUsed/>
    <w:qFormat/>
    <w:rsid w:val="002059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05935"/>
    <w:pPr>
      <w:widowControl w:val="0"/>
      <w:autoSpaceDE w:val="0"/>
      <w:autoSpaceDN w:val="0"/>
      <w:spacing w:after="0" w:line="240" w:lineRule="auto"/>
    </w:pPr>
    <w:rPr>
      <w:rFonts w:ascii="Calibri" w:eastAsia="Calibri" w:hAnsi="Calibri" w:cs="Calibri"/>
      <w:sz w:val="24"/>
      <w:szCs w:val="24"/>
    </w:rPr>
  </w:style>
  <w:style w:type="character" w:customStyle="1" w:styleId="TextoindependienteCar">
    <w:name w:val="Texto independiente Car"/>
    <w:basedOn w:val="Fuentedeprrafopredeter"/>
    <w:link w:val="Textoindependiente"/>
    <w:uiPriority w:val="1"/>
    <w:rsid w:val="00205935"/>
    <w:rPr>
      <w:rFonts w:ascii="Calibri" w:eastAsia="Calibri" w:hAnsi="Calibri" w:cs="Calibri"/>
      <w:sz w:val="24"/>
      <w:szCs w:val="24"/>
    </w:rPr>
  </w:style>
  <w:style w:type="paragraph" w:customStyle="1" w:styleId="TableParagraph">
    <w:name w:val="Table Paragraph"/>
    <w:basedOn w:val="Normal"/>
    <w:uiPriority w:val="1"/>
    <w:qFormat/>
    <w:rsid w:val="00205935"/>
    <w:pPr>
      <w:widowControl w:val="0"/>
      <w:autoSpaceDE w:val="0"/>
      <w:autoSpaceDN w:val="0"/>
      <w:spacing w:after="0" w:line="240" w:lineRule="auto"/>
    </w:pPr>
    <w:rPr>
      <w:rFonts w:ascii="Calibri" w:eastAsia="Calibri" w:hAnsi="Calibri" w:cs="Calibri"/>
    </w:rPr>
  </w:style>
  <w:style w:type="character" w:styleId="Mencinsinresolver">
    <w:name w:val="Unresolved Mention"/>
    <w:basedOn w:val="Fuentedeprrafopredeter"/>
    <w:uiPriority w:val="99"/>
    <w:semiHidden/>
    <w:unhideWhenUsed/>
    <w:rsid w:val="00064045"/>
    <w:rPr>
      <w:color w:val="605E5C"/>
      <w:shd w:val="clear" w:color="auto" w:fill="E1DFDD"/>
    </w:rPr>
  </w:style>
  <w:style w:type="table" w:styleId="Tablaconcuadrcula">
    <w:name w:val="Table Grid"/>
    <w:basedOn w:val="Tablanormal"/>
    <w:uiPriority w:val="39"/>
    <w:rsid w:val="00CA0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641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4118"/>
  </w:style>
  <w:style w:type="paragraph" w:styleId="Piedepgina">
    <w:name w:val="footer"/>
    <w:basedOn w:val="Normal"/>
    <w:link w:val="PiedepginaCar"/>
    <w:uiPriority w:val="99"/>
    <w:unhideWhenUsed/>
    <w:rsid w:val="004641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4118"/>
  </w:style>
  <w:style w:type="character" w:customStyle="1" w:styleId="HeaderChar">
    <w:name w:val="Header Char"/>
    <w:basedOn w:val="Fuentedeprrafopredeter"/>
    <w:link w:val="Header10"/>
    <w:uiPriority w:val="99"/>
    <w:locked/>
    <w:rsid w:val="00464118"/>
    <w:rPr>
      <w:rFonts w:ascii="Calibri" w:hAnsi="Calibri" w:cs="Arial"/>
      <w:szCs w:val="19"/>
    </w:rPr>
  </w:style>
  <w:style w:type="paragraph" w:customStyle="1" w:styleId="Header10">
    <w:name w:val="Header10"/>
    <w:basedOn w:val="Normal"/>
    <w:link w:val="HeaderChar"/>
    <w:uiPriority w:val="99"/>
    <w:rsid w:val="00464118"/>
    <w:pPr>
      <w:tabs>
        <w:tab w:val="center" w:pos="4252"/>
        <w:tab w:val="right" w:pos="8504"/>
      </w:tabs>
      <w:spacing w:before="60" w:after="60" w:line="240" w:lineRule="auto"/>
      <w:jc w:val="both"/>
    </w:pPr>
    <w:rPr>
      <w:rFonts w:ascii="Calibri" w:hAnsi="Calibri" w:cs="Arial"/>
      <w:szCs w:val="19"/>
    </w:rPr>
  </w:style>
  <w:style w:type="paragraph" w:customStyle="1" w:styleId="Default">
    <w:name w:val="Default"/>
    <w:rsid w:val="00B75829"/>
    <w:pPr>
      <w:autoSpaceDE w:val="0"/>
      <w:autoSpaceDN w:val="0"/>
      <w:adjustRightInd w:val="0"/>
      <w:spacing w:after="0" w:line="240" w:lineRule="auto"/>
    </w:pPr>
    <w:rPr>
      <w:rFonts w:ascii="Arial" w:hAnsi="Arial" w:cs="Arial"/>
      <w:color w:val="000000"/>
      <w:sz w:val="24"/>
      <w:szCs w:val="24"/>
    </w:rPr>
  </w:style>
  <w:style w:type="character" w:styleId="Hipervnculovisitado">
    <w:name w:val="FollowedHyperlink"/>
    <w:basedOn w:val="Fuentedeprrafopredeter"/>
    <w:uiPriority w:val="99"/>
    <w:semiHidden/>
    <w:unhideWhenUsed/>
    <w:rsid w:val="00B758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51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boe.es/eli/es/rd/2022/11/15/959"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C22BB03212FDE4E807236A89C119163" ma:contentTypeVersion="1" ma:contentTypeDescription="Crear nuevo documento." ma:contentTypeScope="" ma:versionID="cbe52e969f282be71b3c44bcba55fce1">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EDBBE3-47AA-455E-868A-06E951DF3F07}"/>
</file>

<file path=customXml/itemProps2.xml><?xml version="1.0" encoding="utf-8"?>
<ds:datastoreItem xmlns:ds="http://schemas.openxmlformats.org/officeDocument/2006/customXml" ds:itemID="{90C27501-4EB0-44BA-AAB8-5A99B2EA1F10}"/>
</file>

<file path=customXml/itemProps3.xml><?xml version="1.0" encoding="utf-8"?>
<ds:datastoreItem xmlns:ds="http://schemas.openxmlformats.org/officeDocument/2006/customXml" ds:itemID="{07B63EFC-E5D0-481F-8450-710CEC407877}"/>
</file>

<file path=docProps/app.xml><?xml version="1.0" encoding="utf-8"?>
<Properties xmlns="http://schemas.openxmlformats.org/officeDocument/2006/extended-properties" xmlns:vt="http://schemas.openxmlformats.org/officeDocument/2006/docPropsVTypes">
  <Template>Normal.dotm</Template>
  <TotalTime>43</TotalTime>
  <Pages>3</Pages>
  <Words>1009</Words>
  <Characters>5553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López Sánchez, Francisco Javier</dc:creator>
  <cp:keywords/>
  <dc:description/>
  <cp:lastModifiedBy>Peñaranda Marques, Jose Antonio</cp:lastModifiedBy>
  <cp:revision>10</cp:revision>
  <dcterms:created xsi:type="dcterms:W3CDTF">2023-11-15T11:41:00Z</dcterms:created>
  <dcterms:modified xsi:type="dcterms:W3CDTF">2024-11-13T15:53:00Z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0x0101006C22BB03212FDE4E807236A89C119163</vt:lpwstr>
  </property>
</Properties>
</file>